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E32A6">
      <w:pPr>
        <w:tabs>
          <w:tab w:val="left" w:pos="3657"/>
        </w:tabs>
        <w:spacing w:before="61"/>
        <w:ind w:right="0" w:firstLine="5060" w:firstLineChars="1800"/>
        <w:jc w:val="left"/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  <w:t>FEATURES</w:t>
      </w:r>
    </w:p>
    <w:p w14:paraId="328C9BE8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 w:ascii="Calibri" w:hAnsi="Arial" w:cs="Arial"/>
          <w:snapToGrid/>
          <w:color w:val="000000"/>
          <w:sz w:val="24"/>
          <w:szCs w:val="24"/>
          <w:shd w:val="clear" w:color="auto" w:fill="FFFFFF"/>
          <w:lang w:val="en-US" w:eastAsia="zh-CN"/>
        </w:rPr>
        <w:t>10/100/1000Mbps Ethernet</w:t>
      </w:r>
    </w:p>
    <w:p w14:paraId="00437E7A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10/100</w:t>
      </w:r>
      <w:r>
        <w:rPr>
          <w:rFonts w:hint="eastAsia"/>
          <w:sz w:val="24"/>
          <w:szCs w:val="24"/>
          <w:lang w:val="en-US" w:eastAsia="zh-CN"/>
        </w:rPr>
        <w:t>/1000</w:t>
      </w:r>
      <w:r>
        <w:rPr>
          <w:rFonts w:hint="default"/>
          <w:sz w:val="24"/>
          <w:szCs w:val="24"/>
        </w:rPr>
        <w:t xml:space="preserve"> BASE-T/TX electrical por</w:t>
      </w:r>
      <w:r>
        <w:rPr>
          <w:rFonts w:hint="default"/>
          <w:sz w:val="24"/>
          <w:szCs w:val="24"/>
          <w:lang w:val="en-US" w:eastAsia="zh-CN"/>
        </w:rPr>
        <w:t>t</w:t>
      </w:r>
    </w:p>
    <w:p w14:paraId="6D5537C3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100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  <w:lang w:val="en-US" w:eastAsia="zh-CN"/>
        </w:rPr>
        <w:t xml:space="preserve"> BASE-SX/LX optical port</w:t>
      </w:r>
    </w:p>
    <w:p w14:paraId="0E922C37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22D30778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370205</wp:posOffset>
            </wp:positionH>
            <wp:positionV relativeFrom="paragraph">
              <wp:posOffset>354965</wp:posOffset>
            </wp:positionV>
            <wp:extent cx="2961640" cy="2028825"/>
            <wp:effectExtent l="0" t="0" r="0" b="0"/>
            <wp:wrapNone/>
            <wp:docPr id="26" name="image2.jpeg" descr="E:/赵的图片 资料/ai网站图片/产品图片/Media Converter/101001000M/ND-921SW-20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/赵的图片 资料/ai网站图片/产品图片/Media Converter/101001000M/ND-921SW-20/1.jpg1"/>
                    <pic:cNvPicPr>
                      <a:picLocks noChangeAspect="1"/>
                    </pic:cNvPicPr>
                  </pic:nvPicPr>
                  <pic:blipFill>
                    <a:blip r:embed="rId6"/>
                    <a:srcRect t="16992" b="14528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t>Electrical port supports Auto-Negotiation for 10Mbps or 100Mbps</w:t>
      </w:r>
      <w:r>
        <w:rPr>
          <w:rFonts w:hint="eastAsia"/>
          <w:sz w:val="24"/>
          <w:szCs w:val="24"/>
          <w:lang w:val="en-US" w:eastAsia="zh-CN"/>
        </w:rPr>
        <w:t xml:space="preserve"> or 1000Mbps</w:t>
      </w:r>
      <w:r>
        <w:rPr>
          <w:rFonts w:hint="default"/>
          <w:sz w:val="24"/>
          <w:szCs w:val="24"/>
          <w:lang w:val="en-US" w:eastAsia="zh-CN"/>
        </w:rPr>
        <w:t xml:space="preserve"> , full duplex or half duplex data</w:t>
      </w:r>
    </w:p>
    <w:p w14:paraId="75D1933E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Optical port supports 100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  <w:lang w:val="en-US" w:eastAsia="zh-CN"/>
        </w:rPr>
        <w:t>Mbps full duplex data</w:t>
      </w:r>
    </w:p>
    <w:p w14:paraId="224ED6EC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Automatic MDI/MDI-X crossover</w:t>
      </w:r>
    </w:p>
    <w:p w14:paraId="547C6BE2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Distances up to 2km for Multi mode;Up to 120km for Single mode</w:t>
      </w:r>
    </w:p>
    <w:p w14:paraId="68F65C40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Voltage transient protection on all power and signal input.output lines provides unconditional protection from power surges and other voltage transient events</w:t>
      </w:r>
    </w:p>
    <w:p w14:paraId="1CAFBB0D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No in-field optical adjustments required</w:t>
      </w:r>
    </w:p>
    <w:p w14:paraId="5729791E">
      <w:pPr>
        <w:numPr>
          <w:ilvl w:val="0"/>
          <w:numId w:val="1"/>
        </w:numPr>
        <w:bidi w:val="0"/>
        <w:spacing w:line="360" w:lineRule="auto"/>
        <w:rPr>
          <w:rFonts w:hint="default"/>
          <w:sz w:val="24"/>
          <w:szCs w:val="24"/>
          <w:lang w:val="en-US" w:eastAsia="zh-CN"/>
        </w:rPr>
      </w:pPr>
      <w:bookmarkStart w:id="2" w:name="_GoBack"/>
      <w:bookmarkEnd w:id="2"/>
      <w:r>
        <w:rPr>
          <w:rFonts w:hint="default"/>
          <w:sz w:val="24"/>
          <w:szCs w:val="24"/>
          <w:lang w:val="en-US" w:eastAsia="zh-CN"/>
        </w:rPr>
        <w:t>LED Indicators</w:t>
      </w:r>
    </w:p>
    <w:p w14:paraId="667B45F8">
      <w:pPr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49ECB717">
      <w:pPr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6CABE827">
      <w:pPr>
        <w:spacing w:line="360" w:lineRule="auto"/>
        <w:ind w:firstLine="241" w:firstLineChars="100"/>
        <w:rPr>
          <w:rFonts w:hint="default" w:ascii="Verdana" w:hAnsi="Verdana" w:cs="Verdana"/>
          <w:sz w:val="24"/>
          <w:szCs w:val="24"/>
          <w:lang w:val="en-US" w:eastAsia="zh-CN"/>
        </w:rPr>
      </w:pPr>
      <w:bookmarkStart w:id="0" w:name="OLE_LINK1"/>
      <w:bookmarkStart w:id="1" w:name="OLE_LINK2"/>
      <w:r>
        <w:rPr>
          <w:rFonts w:hint="default" w:ascii="Verdana" w:hAnsi="Verdana" w:cs="Verdana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159385</wp:posOffset>
                </wp:positionV>
                <wp:extent cx="45085" cy="450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93FA8B">
                            <w:pP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   16-Pot 10/100Mbps +2G TP/SFP Combo </w:t>
                            </w:r>
                          </w:p>
                          <w:p w14:paraId="10FF46C5">
                            <w:pPr>
                              <w:rPr>
                                <w:rFonts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Verdana" w:hAnsi="Verdana" w:cs="Verdana"/>
                                <w:color w:val="FFFFFF"/>
                                <w:sz w:val="18"/>
                                <w:szCs w:val="18"/>
                              </w:rPr>
                              <w:t xml:space="preserve">        PoE Switch with LCD Display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6pt;margin-top:12.55pt;height:3.55pt;width:3.55pt;z-index:251662336;mso-width-relative:page;mso-height-relative:page;" filled="f" stroked="f" coordsize="21600,21600" o:gfxdata="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+St8tgAAAAJAQAADwAAAAAAAAABACAAAAAiAAAAZHJzL2Rvd25yZXYueG1s&#10;UEsBAhQAFAAAAAgAh07iQI7VYP6/AQAAfwMAAA4AAAAAAAAAAQAgAAAAJw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6093FA8B">
                      <w:pP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  <w:t xml:space="preserve">    16-Pot 10/100Mbps +2G TP/SFP Combo </w:t>
                      </w:r>
                    </w:p>
                    <w:p w14:paraId="10FF46C5">
                      <w:pPr>
                        <w:rPr>
                          <w:rFonts w:ascii="Verdana" w:hAnsi="Verdana" w:cs="Verdana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Verdana" w:hAnsi="Verdana" w:cs="Verdana"/>
                          <w:color w:val="FFFFFF"/>
                          <w:sz w:val="18"/>
                          <w:szCs w:val="18"/>
                        </w:rPr>
                        <w:t xml:space="preserve">        PoE Switch with LCD Display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Verdana" w:hAnsi="Verdana" w:cs="Verdana"/>
          <w:b/>
          <w:bCs/>
          <w:sz w:val="24"/>
          <w:szCs w:val="24"/>
        </w:rPr>
        <w:t>Newbridge</w:t>
      </w:r>
      <w:r>
        <w:rPr>
          <w:rFonts w:hint="default" w:ascii="Verdana" w:hAnsi="Verdana" w:cs="Verdana"/>
          <w:sz w:val="24"/>
          <w:szCs w:val="24"/>
        </w:rPr>
        <w:t xml:space="preserve">® </w:t>
      </w:r>
      <w:r>
        <w:rPr>
          <w:rFonts w:hint="default" w:ascii="Verdana" w:hAnsi="Verdana" w:cs="Verdana"/>
          <w:snapToGrid/>
          <w:color w:val="000000"/>
          <w:sz w:val="24"/>
          <w:szCs w:val="24"/>
          <w:shd w:val="clear" w:color="auto" w:fill="FFFFFF"/>
          <w:lang w:val="en-US" w:eastAsia="zh-CN"/>
        </w:rPr>
        <w:t>Gigabit media converter with external power supply are designed to transmit and receive 10/100/1000Mbps data over optical fiber. The electrical interface will Auto-Negotiate to a 100Mbps or 1000Mbps Ethernet rate without any adjustments. The optical interface operates at a 1000Mbps Ethernet rate. Both are environmentally hardened to operate in extreme temperatures. LED indicators are provided for confirming equipment operating status.</w:t>
      </w:r>
    </w:p>
    <w:bookmarkEnd w:id="0"/>
    <w:bookmarkEnd w:id="1"/>
    <w:p w14:paraId="7D2942D2">
      <w:pPr>
        <w:ind w:firstLine="24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7BDC7A69">
      <w:pPr>
        <w:ind w:firstLine="240" w:firstLineChars="100"/>
        <w:rPr>
          <w:rFonts w:hint="default" w:ascii="Calibri" w:hAnsi="Calibri" w:cs="Calibri"/>
          <w:sz w:val="24"/>
          <w:szCs w:val="24"/>
          <w:lang w:val="en-US" w:eastAsia="zh-CN"/>
        </w:rPr>
      </w:pPr>
    </w:p>
    <w:p w14:paraId="7F944A54">
      <w:pPr>
        <w:pStyle w:val="30"/>
        <w:adjustRightInd/>
        <w:snapToGrid/>
        <w:spacing w:beforeLines="0" w:afterLines="0"/>
        <w:rPr>
          <w:rFonts w:hint="default" w:ascii="Calibri" w:hAnsi="Calibri" w:cs="Calibri"/>
          <w:color w:val="000000"/>
          <w:spacing w:val="3"/>
          <w:sz w:val="28"/>
          <w:szCs w:val="28"/>
          <w:highlight w:val="blue"/>
          <w:lang w:val="en-US" w:eastAsia="zh-CN" w:bidi="ar-SA"/>
        </w:rPr>
      </w:pPr>
      <w:r>
        <w:rPr>
          <w:rFonts w:hint="default" w:ascii="Calibri" w:hAnsi="Calibri" w:eastAsia="宋体" w:cs="Calibri"/>
          <w:sz w:val="28"/>
          <w:szCs w:val="28"/>
        </w:rPr>
        <w:t>Specifications</w:t>
      </w:r>
    </w:p>
    <w:tbl>
      <w:tblPr>
        <w:tblStyle w:val="8"/>
        <w:tblW w:w="0" w:type="auto"/>
        <w:tblInd w:w="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7275"/>
      </w:tblGrid>
      <w:tr w14:paraId="3B7A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7BC4624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  <w:t>Parameters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849070E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b/>
                <w:snapToGrid/>
                <w:color w:val="000000"/>
                <w:sz w:val="24"/>
                <w:szCs w:val="24"/>
                <w:shd w:val="clear" w:color="auto" w:fill="FFFFFF"/>
              </w:rPr>
              <w:t>Specifications</w:t>
            </w:r>
          </w:p>
        </w:tc>
      </w:tr>
      <w:tr w14:paraId="7DE0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4B54F7D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Standards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4A0E101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 10Base-T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802.3u 100Base-TX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IEEE 802.3ab 1000Base-TX/FX</w:t>
            </w:r>
          </w:p>
        </w:tc>
      </w:tr>
      <w:tr w14:paraId="51FE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F357283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Transmission Distance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908BB37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Multimode: 2km </w:t>
            </w:r>
          </w:p>
          <w:p w14:paraId="60FA324F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Single mode:10km~120km </w:t>
            </w:r>
          </w:p>
        </w:tc>
      </w:tr>
      <w:tr w14:paraId="743C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144DE643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Port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0E2B42B4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One RJ45 port,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Single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fiber port (SC/ST/FC Optional) </w:t>
            </w:r>
          </w:p>
        </w:tc>
      </w:tr>
      <w:tr w14:paraId="1548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7AC9DBC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MDI/MDI-X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75C4C2E0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Auto selection</w:t>
            </w:r>
          </w:p>
        </w:tc>
      </w:tr>
      <w:tr w14:paraId="5675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C6C6C52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Power Supply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61EDA60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eastAsia" w:ascii="Calibri" w:hAnsi="Arial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External : 5V DC </w:t>
            </w:r>
            <w:r>
              <w:rPr>
                <w:rFonts w:hint="eastAsia" w:ascii="Calibri" w:hAnsi="Arial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1A/2A</w:t>
            </w:r>
          </w:p>
          <w:p w14:paraId="10B562B4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Built-in: 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0 V to 240 V AC 50Hz to 60 Hz</w:t>
            </w:r>
          </w:p>
          <w:p w14:paraId="5A31E9C8">
            <w:pPr>
              <w:shd w:val="solid" w:color="FFFFFF" w:fill="auto"/>
              <w:kinsoku/>
              <w:autoSpaceDE/>
              <w:autoSpaceDN w:val="0"/>
              <w:spacing w:line="360" w:lineRule="auto"/>
              <w:jc w:val="left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Power Consumption : ≤</w:t>
            </w:r>
            <w:r>
              <w:rPr>
                <w:rFonts w:hint="default" w:ascii="Calibri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5W</w:t>
            </w:r>
          </w:p>
        </w:tc>
      </w:tr>
      <w:tr w14:paraId="5795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1762E289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Operating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Temperature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6ACF9DC6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 to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</w:t>
            </w:r>
          </w:p>
        </w:tc>
      </w:tr>
      <w:tr w14:paraId="358D7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79BE630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Storage Temperature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477319D7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0 °C to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+</w:t>
            </w:r>
            <w:r>
              <w:rPr>
                <w:rFonts w:hint="eastAsia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°C</w:t>
            </w:r>
          </w:p>
        </w:tc>
      </w:tr>
      <w:tr w14:paraId="4A36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B6984B7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Relative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Humidity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2F5CAEC3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5% to 90% (non-condensing)</w:t>
            </w:r>
          </w:p>
        </w:tc>
      </w:tr>
      <w:tr w14:paraId="3086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54227698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Dimensions</w:t>
            </w:r>
          </w:p>
        </w:tc>
        <w:tc>
          <w:tcPr>
            <w:tcW w:w="7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50" w:type="dxa"/>
            </w:tcMar>
            <w:vAlign w:val="center"/>
          </w:tcPr>
          <w:p w14:paraId="3075A84F">
            <w:pPr>
              <w:shd w:val="solid" w:color="FFFFFF" w:fill="auto"/>
              <w:kinsoku/>
              <w:autoSpaceDE/>
              <w:autoSpaceDN w:val="0"/>
              <w:spacing w:line="360" w:lineRule="auto"/>
              <w:textAlignment w:val="auto"/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95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mm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70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mm 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*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Calibri" w:hAnsi="Arial" w:cs="Arial"/>
                <w:snapToGrid/>
                <w:color w:val="000000"/>
                <w:sz w:val="24"/>
                <w:szCs w:val="24"/>
                <w:shd w:val="clear" w:color="auto" w:fill="FFFFFF"/>
              </w:rPr>
              <w:t>mm</w:t>
            </w:r>
          </w:p>
        </w:tc>
      </w:tr>
    </w:tbl>
    <w:p w14:paraId="257FFA52">
      <w:pPr>
        <w:tabs>
          <w:tab w:val="left" w:pos="3900"/>
        </w:tabs>
        <w:autoSpaceDE w:val="0"/>
        <w:autoSpaceDN w:val="0"/>
        <w:adjustRightInd w:val="0"/>
        <w:spacing w:before="23"/>
        <w:ind w:right="-20"/>
        <w:jc w:val="center"/>
        <w:rPr>
          <w:rFonts w:hint="eastAsia"/>
        </w:rPr>
      </w:pPr>
    </w:p>
    <w:p w14:paraId="14A50424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7D14317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66C1C19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6F0B6A2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A2C83EA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6466689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6CEEE1A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077A16C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19FA722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09153FE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DEA4C2B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EB02880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0429254C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BE0C018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304C1591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9C52C2F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D39DC1B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4C35CD32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64014EC3">
      <w:pPr>
        <w:widowControl w:val="0"/>
        <w:autoSpaceDE w:val="0"/>
        <w:autoSpaceDN w:val="0"/>
        <w:spacing w:line="228" w:lineRule="exact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0832C2A2">
      <w:pPr>
        <w:pStyle w:val="30"/>
        <w:adjustRightInd/>
        <w:snapToGrid/>
        <w:spacing w:before="156" w:after="156"/>
        <w:rPr>
          <w:rFonts w:hint="eastAsia" w:eastAsia="宋体"/>
        </w:rPr>
      </w:pPr>
      <w:r>
        <w:rPr>
          <w:rFonts w:eastAsia="宋体"/>
        </w:rPr>
        <w:t>Application Diagram</w:t>
      </w:r>
    </w:p>
    <w:p w14:paraId="1EF0ECF7">
      <w:pPr>
        <w:widowControl w:val="0"/>
        <w:autoSpaceDE w:val="0"/>
        <w:autoSpaceDN w:val="0"/>
        <w:spacing w:line="228" w:lineRule="exact"/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eastAsia="zh-CN"/>
        </w:rPr>
        <w:drawing>
          <wp:inline distT="0" distB="0" distL="114300" distR="114300">
            <wp:extent cx="5939790" cy="3529965"/>
            <wp:effectExtent l="0" t="0" r="3810" b="13335"/>
            <wp:docPr id="4" name="图片 1" descr="820sw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820sw连接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43E95">
      <w:pPr>
        <w:rPr>
          <w:rFonts w:hint="eastAsia" w:ascii="Arial-BoldMT" w:hAnsi="Arial-BoldMT" w:eastAsia="宋体" w:cs="Arial-BoldMT"/>
          <w:b/>
          <w:bCs/>
          <w:color w:val="9A0000"/>
          <w:lang w:eastAsia="zh-CN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eastAsia="zh-CN"/>
        </w:rPr>
        <w:drawing>
          <wp:inline distT="0" distB="0" distL="114300" distR="114300">
            <wp:extent cx="5939790" cy="3529965"/>
            <wp:effectExtent l="0" t="0" r="3810" b="13335"/>
            <wp:docPr id="5" name="图片 2" descr="820sw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820sw连接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954E">
      <w:pPr>
        <w:rPr>
          <w:rFonts w:hint="eastAsia" w:ascii="Arial-BoldMT" w:hAnsi="Arial-BoldMT" w:cs="Arial-BoldMT"/>
          <w:b/>
          <w:bCs/>
          <w:color w:val="9A0000"/>
        </w:rPr>
      </w:pPr>
      <w:r>
        <w:rPr>
          <w:rFonts w:hint="eastAsia" w:ascii="Arial-BoldMT" w:hAnsi="Arial-BoldMT" w:eastAsia="宋体" w:cs="Arial-BoldMT"/>
          <w:b/>
          <w:bCs/>
          <w:color w:val="9A0000"/>
          <w:lang w:val="en-US" w:eastAsia="zh-CN"/>
        </w:rPr>
        <w:t xml:space="preserve">                          </w:t>
      </w:r>
    </w:p>
    <w:p w14:paraId="31D7E7DE">
      <w:pPr>
        <w:widowControl w:val="0"/>
        <w:autoSpaceDE w:val="0"/>
        <w:autoSpaceDN w:val="0"/>
        <w:spacing w:line="240" w:lineRule="auto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611BCA9">
      <w:pPr>
        <w:widowControl w:val="0"/>
        <w:autoSpaceDE w:val="0"/>
        <w:autoSpaceDN w:val="0"/>
        <w:spacing w:line="240" w:lineRule="auto"/>
        <w:rPr>
          <w:rFonts w:hint="default" w:asciiTheme="minorAscii" w:hAnsiTheme="minorAscii"/>
          <w:color w:val="000000"/>
          <w:spacing w:val="3"/>
          <w:sz w:val="21"/>
          <w:szCs w:val="21"/>
          <w:lang w:val="en-US" w:eastAsia="zh-CN" w:bidi="ar-SA"/>
        </w:rPr>
      </w:pPr>
    </w:p>
    <w:p w14:paraId="2D781DA0">
      <w:pPr>
        <w:pStyle w:val="30"/>
        <w:adjustRightInd/>
        <w:snapToGrid/>
        <w:spacing w:beforeLines="0" w:afterLines="0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Order Information</w:t>
      </w:r>
    </w:p>
    <w:tbl>
      <w:tblPr>
        <w:tblStyle w:val="8"/>
        <w:tblW w:w="0" w:type="auto"/>
        <w:tblInd w:w="23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385"/>
        <w:gridCol w:w="3358"/>
      </w:tblGrid>
      <w:tr w14:paraId="5C2A6DEE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7461F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Part No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CC2B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Description of product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D5774">
            <w:pPr>
              <w:jc w:val="left"/>
              <w:rPr>
                <w:rFonts w:hint="default" w:cs="Arial" w:asciiTheme="minorAscii" w:hAnsiTheme="minorAscii"/>
                <w:b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b/>
                <w:sz w:val="21"/>
                <w:szCs w:val="21"/>
              </w:rPr>
              <w:t>Unit</w:t>
            </w:r>
          </w:p>
        </w:tc>
      </w:tr>
      <w:tr w14:paraId="0E120380"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730C">
            <w:pPr>
              <w:jc w:val="left"/>
              <w:rPr>
                <w:rFonts w:hint="default" w:cs="Arial" w:asciiTheme="minorAscii" w:hAnsiTheme="minorAsci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ND-</w:t>
            </w:r>
            <w:r>
              <w:rPr>
                <w:rFonts w:hint="eastAsia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1SW</w:t>
            </w:r>
            <w:r>
              <w:rPr>
                <w:rFonts w:hint="default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Calibri" w:hAnsi="Calibri" w:eastAsia="宋体" w:cs="Calibri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020CA">
            <w:pPr>
              <w:jc w:val="left"/>
              <w:rPr>
                <w:rFonts w:hint="default" w:cs="Arial" w:asciiTheme="minorAscii" w:hAnsiTheme="minorAsci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Dual fiber Single-mode ,20km，SC,220V/AC,5V2A/DC,1*1000Base-Fx+1*10/1000Base-Tx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C0042">
            <w:pPr>
              <w:jc w:val="left"/>
              <w:rPr>
                <w:rFonts w:hint="default" w:cs="Arial" w:asciiTheme="minorAscii" w:hAnsiTheme="minorAscii"/>
                <w:sz w:val="21"/>
                <w:szCs w:val="21"/>
              </w:rPr>
            </w:pPr>
            <w:r>
              <w:rPr>
                <w:rFonts w:hint="default" w:cs="Arial" w:asciiTheme="minorAscii" w:hAnsiTheme="minorAscii"/>
                <w:sz w:val="21"/>
                <w:szCs w:val="21"/>
              </w:rPr>
              <w:t>pc</w:t>
            </w:r>
          </w:p>
        </w:tc>
      </w:tr>
    </w:tbl>
    <w:p w14:paraId="58A4D935">
      <w:pPr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pacing w:val="3"/>
          <w:sz w:val="18"/>
          <w:szCs w:val="22"/>
          <w:lang w:val="en-US" w:eastAsia="en-US" w:bidi="ar-SA"/>
        </w:rPr>
      </w:pP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-Bold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E2E3B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848A7">
    <w:pPr>
      <w:spacing w:before="27"/>
      <w:ind w:right="0"/>
      <w:jc w:val="left"/>
      <w:rPr>
        <w:rFonts w:hint="eastAsia" w:ascii="黑体" w:eastAsia="黑体"/>
        <w:w w:val="95"/>
        <w:sz w:val="32"/>
      </w:rPr>
    </w:pP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>10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/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>100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/1000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 xml:space="preserve">M 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M</w:t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/>
      </w:rPr>
      <w:t xml:space="preserve">edia converter </w:t>
    </w:r>
    <w:r>
      <w:rPr>
        <w:sz w:val="30"/>
        <w:szCs w:val="3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4364355</wp:posOffset>
          </wp:positionH>
          <wp:positionV relativeFrom="paragraph">
            <wp:posOffset>139700</wp:posOffset>
          </wp:positionV>
          <wp:extent cx="2209165" cy="421005"/>
          <wp:effectExtent l="0" t="0" r="635" b="17145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16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思源黑体 CN Bold" w:hAnsi="思源黑体 CN Bold" w:eastAsia="思源黑体 CN Bold" w:cs="思源黑体 CN Bold"/>
        <w:b/>
        <w:bCs/>
        <w:w w:val="95"/>
        <w:sz w:val="30"/>
        <w:szCs w:val="30"/>
        <w:lang w:val="en-US" w:eastAsia="zh-CN"/>
      </w:rPr>
      <w:t xml:space="preserve"> </w:t>
    </w:r>
  </w:p>
  <w:p w14:paraId="1CDB5E3E">
    <w:pPr>
      <w:spacing w:before="27"/>
      <w:ind w:left="20" w:right="0" w:firstLine="0"/>
      <w:jc w:val="left"/>
    </w:pP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ND-</w:t>
    </w:r>
    <w:r>
      <w:rPr>
        <w:rFonts w:hint="eastAsia" w:ascii="Calibri" w:hAnsi="Calibri" w:eastAsia="宋体" w:cs="Calibri"/>
        <w:b/>
        <w:bCs/>
        <w:sz w:val="28"/>
        <w:szCs w:val="28"/>
        <w:lang w:val="en-US" w:eastAsia="zh-CN"/>
      </w:rPr>
      <w:t>9</w:t>
    </w: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21SW-</w:t>
    </w:r>
    <w:r>
      <w:rPr>
        <w:rFonts w:hint="eastAsia" w:ascii="Calibri" w:hAnsi="Calibri" w:eastAsia="宋体" w:cs="Calibri"/>
        <w:b/>
        <w:bCs/>
        <w:sz w:val="28"/>
        <w:szCs w:val="28"/>
        <w:lang w:val="en-US" w:eastAsia="zh-CN"/>
      </w:rPr>
      <w:t>20</w:t>
    </w: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OGJlYTg1YzkxNWVhZmUzYzlkMjU4YTM5NjcwMGMifQ=="/>
  </w:docVars>
  <w:rsids>
    <w:rsidRoot w:val="17054E4D"/>
    <w:rsid w:val="00C04E45"/>
    <w:rsid w:val="0CFA378B"/>
    <w:rsid w:val="17054E4D"/>
    <w:rsid w:val="17536F24"/>
    <w:rsid w:val="263852FA"/>
    <w:rsid w:val="32556D65"/>
    <w:rsid w:val="36DB14E9"/>
    <w:rsid w:val="3A0D52FC"/>
    <w:rsid w:val="45E33F36"/>
    <w:rsid w:val="46B30AA3"/>
    <w:rsid w:val="488C63AB"/>
    <w:rsid w:val="4BCB2771"/>
    <w:rsid w:val="4DB616EB"/>
    <w:rsid w:val="5080374E"/>
    <w:rsid w:val="5F3A5DCA"/>
    <w:rsid w:val="69E04478"/>
    <w:rsid w:val="6A5B7AB4"/>
    <w:rsid w:val="6AC92A45"/>
    <w:rsid w:val="7033519E"/>
    <w:rsid w:val="787072AE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paragraph" w:styleId="13">
    <w:name w:val="List Paragraph"/>
    <w:basedOn w:val="1"/>
    <w:autoRedefine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4">
    <w:name w:val="font51"/>
    <w:basedOn w:val="10"/>
    <w:autoRedefine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5">
    <w:name w:val="font7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6">
    <w:name w:val="font41"/>
    <w:basedOn w:val="10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7">
    <w:name w:val="font16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8">
    <w:name w:val="font112"/>
    <w:basedOn w:val="1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31"/>
    <w:basedOn w:val="10"/>
    <w:autoRedefine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20">
    <w:name w:val="font61"/>
    <w:basedOn w:val="10"/>
    <w:autoRedefine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1">
    <w:name w:val="font15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3">
    <w:name w:val="font91"/>
    <w:basedOn w:val="10"/>
    <w:autoRedefine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4">
    <w:name w:val="Table Paragraph"/>
    <w:basedOn w:val="1"/>
    <w:autoRedefine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5">
    <w:name w:val="font10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6">
    <w:name w:val="font281"/>
    <w:basedOn w:val="10"/>
    <w:autoRedefine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7">
    <w:name w:val="font131"/>
    <w:basedOn w:val="10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212"/>
    <w:basedOn w:val="10"/>
    <w:autoRedefine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9">
    <w:name w:val="font251"/>
    <w:basedOn w:val="10"/>
    <w:autoRedefine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30">
    <w:name w:val="Newbridge-一级标题"/>
    <w:basedOn w:val="1"/>
    <w:autoRedefine/>
    <w:qFormat/>
    <w:uiPriority w:val="0"/>
    <w:pPr>
      <w:pBdr>
        <w:top w:val="dotDash" w:color="C0C0C0" w:sz="4" w:space="1"/>
        <w:left w:val="dotDash" w:color="C0C0C0" w:sz="4" w:space="4"/>
        <w:bottom w:val="dotDash" w:color="C0C0C0" w:sz="4" w:space="1"/>
        <w:right w:val="dotDash" w:color="C0C0C0" w:sz="4" w:space="4"/>
      </w:pBdr>
      <w:shd w:val="clear" w:color="auto" w:fill="F3F3F3"/>
      <w:adjustRightInd w:val="0"/>
      <w:snapToGrid w:val="0"/>
      <w:spacing w:before="156" w:beforeLines="50" w:after="156" w:afterLines="50" w:line="360" w:lineRule="auto"/>
      <w:jc w:val="left"/>
    </w:pPr>
    <w:rPr>
      <w:rFonts w:ascii="Arial" w:hAnsi="Arial" w:eastAsia="Arial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1380</Characters>
  <Lines>0</Lines>
  <Paragraphs>0</Paragraphs>
  <TotalTime>1</TotalTime>
  <ScaleCrop>false</ScaleCrop>
  <LinksUpToDate>false</LinksUpToDate>
  <CharactersWithSpaces>1589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Administrator</cp:lastModifiedBy>
  <dcterms:modified xsi:type="dcterms:W3CDTF">2024-07-09T01:35:40Z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12BA7309AACB4974A7A994916FD1F937_13</vt:lpwstr>
  </property>
</Properties>
</file>